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8A0CC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0"/>
        <w:jc w:val="center"/>
        <w:textAlignment w:val="auto"/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iCs w:val="0"/>
          <w:caps w:val="0"/>
          <w:color w:val="333333"/>
          <w:spacing w:val="0"/>
          <w:sz w:val="36"/>
          <w:szCs w:val="36"/>
          <w:highlight w:val="none"/>
          <w:shd w:val="clear" w:color="auto" w:fill="FFFFFF"/>
          <w:lang w:eastAsia="zh-CN"/>
        </w:rPr>
      </w:pPr>
      <w:bookmarkStart w:id="0" w:name="_GoBack"/>
      <w:r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iCs w:val="0"/>
          <w:caps w:val="0"/>
          <w:color w:val="333333"/>
          <w:spacing w:val="0"/>
          <w:sz w:val="36"/>
          <w:szCs w:val="36"/>
          <w:highlight w:val="none"/>
          <w:shd w:val="clear" w:color="auto" w:fill="FFFFFF"/>
        </w:rPr>
        <w:t>海南省交通规费征稽局</w:t>
      </w:r>
      <w:r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iCs w:val="0"/>
          <w:caps w:val="0"/>
          <w:color w:val="333333"/>
          <w:spacing w:val="0"/>
          <w:sz w:val="36"/>
          <w:szCs w:val="36"/>
          <w:highlight w:val="none"/>
          <w:shd w:val="clear" w:color="auto" w:fill="FFFFFF"/>
          <w:lang w:val="en-US" w:eastAsia="zh-CN"/>
        </w:rPr>
        <w:t>琼山</w:t>
      </w:r>
      <w:r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iCs w:val="0"/>
          <w:caps w:val="0"/>
          <w:color w:val="333333"/>
          <w:spacing w:val="0"/>
          <w:sz w:val="36"/>
          <w:szCs w:val="36"/>
          <w:highlight w:val="none"/>
          <w:shd w:val="clear" w:color="auto" w:fill="FFFFFF"/>
          <w:lang w:eastAsia="zh-CN"/>
        </w:rPr>
        <w:t>分局</w:t>
      </w:r>
    </w:p>
    <w:p w14:paraId="2644B19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0"/>
        <w:jc w:val="center"/>
        <w:textAlignment w:val="auto"/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iCs w:val="0"/>
          <w:caps w:val="0"/>
          <w:color w:val="333333"/>
          <w:spacing w:val="0"/>
          <w:sz w:val="36"/>
          <w:szCs w:val="36"/>
          <w:highlight w:val="none"/>
          <w:shd w:val="clear" w:color="auto" w:fill="FFFFFF"/>
        </w:rPr>
      </w:pPr>
      <w:r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iCs w:val="0"/>
          <w:caps w:val="0"/>
          <w:color w:val="333333"/>
          <w:spacing w:val="0"/>
          <w:sz w:val="36"/>
          <w:szCs w:val="36"/>
          <w:highlight w:val="none"/>
          <w:shd w:val="clear" w:color="auto" w:fill="FFFFFF"/>
        </w:rPr>
        <w:t>关于</w:t>
      </w:r>
      <w:r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iCs w:val="0"/>
          <w:caps w:val="0"/>
          <w:color w:val="333333"/>
          <w:spacing w:val="0"/>
          <w:sz w:val="36"/>
          <w:szCs w:val="36"/>
          <w:highlight w:val="none"/>
          <w:shd w:val="clear" w:color="auto" w:fill="FFFFFF"/>
          <w:lang w:val="en-US" w:eastAsia="zh-CN"/>
        </w:rPr>
        <w:t>对</w:t>
      </w:r>
      <w:r>
        <w:rPr>
          <w:rFonts w:hint="eastAsia" w:asciiTheme="majorEastAsia" w:hAnsiTheme="majorEastAsia" w:eastAsiaTheme="majorEastAsia" w:cstheme="majorEastAsia"/>
          <w:b/>
          <w:bCs w:val="0"/>
          <w:color w:val="000000"/>
          <w:sz w:val="36"/>
          <w:szCs w:val="36"/>
          <w:highlight w:val="none"/>
          <w:lang w:val="en-US" w:eastAsia="zh-CN"/>
        </w:rPr>
        <w:t>海南援诚汽车道路救援有限公司送达      撤销</w:t>
      </w:r>
      <w:r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iCs w:val="0"/>
          <w:caps w:val="0"/>
          <w:color w:val="333333"/>
          <w:spacing w:val="0"/>
          <w:sz w:val="36"/>
          <w:szCs w:val="36"/>
          <w:highlight w:val="none"/>
          <w:shd w:val="clear" w:color="auto" w:fill="FFFFFF"/>
          <w:lang w:val="en-US" w:eastAsia="zh-CN"/>
        </w:rPr>
        <w:t>行政处罚决定</w:t>
      </w:r>
      <w:r>
        <w:rPr>
          <w:rStyle w:val="6"/>
          <w:rFonts w:hint="eastAsia" w:asciiTheme="majorEastAsia" w:hAnsiTheme="majorEastAsia" w:eastAsiaTheme="majorEastAsia" w:cstheme="majorEastAsia"/>
          <w:b/>
          <w:bCs w:val="0"/>
          <w:i w:val="0"/>
          <w:iCs w:val="0"/>
          <w:caps w:val="0"/>
          <w:color w:val="333333"/>
          <w:spacing w:val="0"/>
          <w:sz w:val="36"/>
          <w:szCs w:val="36"/>
          <w:highlight w:val="none"/>
          <w:shd w:val="clear" w:color="auto" w:fill="FFFFFF"/>
        </w:rPr>
        <w:t>的公告</w:t>
      </w:r>
    </w:p>
    <w:bookmarkEnd w:id="0"/>
    <w:p w14:paraId="2D21504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0"/>
        <w:jc w:val="center"/>
        <w:textAlignment w:val="auto"/>
        <w:rPr>
          <w:rStyle w:val="6"/>
          <w:rFonts w:hint="eastAsia" w:ascii="仿宋" w:hAnsi="仿宋" w:eastAsia="仿宋" w:cs="仿宋"/>
          <w:b/>
          <w:bCs w:val="0"/>
          <w:i w:val="0"/>
          <w:iCs w:val="0"/>
          <w:caps w:val="0"/>
          <w:color w:val="333333"/>
          <w:spacing w:val="0"/>
          <w:sz w:val="36"/>
          <w:szCs w:val="36"/>
          <w:highlight w:val="none"/>
          <w:shd w:val="clear" w:color="auto" w:fill="FFFFFF"/>
        </w:rPr>
      </w:pPr>
    </w:p>
    <w:p w14:paraId="42AC931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atLeast"/>
        <w:ind w:left="0" w:right="0" w:firstLine="0"/>
        <w:jc w:val="both"/>
        <w:textAlignment w:val="auto"/>
        <w:rPr>
          <w:rFonts w:hint="eastAsia" w:asciiTheme="minorEastAsia" w:hAnsiTheme="minorEastAsia" w:eastAsiaTheme="minorEastAsia" w:cstheme="minorEastAsia"/>
          <w:b/>
          <w:bCs w:val="0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000000"/>
          <w:sz w:val="24"/>
          <w:szCs w:val="24"/>
          <w:highlight w:val="none"/>
          <w:lang w:val="en-US" w:eastAsia="zh-CN"/>
        </w:rPr>
        <w:t>海南援诚汽车道路救援有限公司：</w:t>
      </w:r>
    </w:p>
    <w:p w14:paraId="4AB53E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lang w:val="en-US" w:eastAsia="zh-CN"/>
        </w:rPr>
      </w:pPr>
    </w:p>
    <w:p w14:paraId="1B53CB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本机关于2024年5月29日依法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对你单位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个人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作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行政处罚决定书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》【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琼交征罚字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114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号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】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经本机关对上述行政处罚决定进行审查，认为因出现新的证据事实，需要重新调查取证，根据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《中华人民共和国行政处罚法》第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七十五条的规定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作出如下决定：</w:t>
      </w:r>
    </w:p>
    <w:p w14:paraId="2EBF8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撤销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本机关2024年5月29日做出的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《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行政处罚决定书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》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【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琼交征罚字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114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号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】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并重新调查。</w:t>
      </w:r>
    </w:p>
    <w:p w14:paraId="7E05E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本机关已采用邮寄送达等方式向你（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单位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发出案号为 琼交征琼山撤销【2025】 1 号 的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《行政处罚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撤销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决定书》，但因信件退回等原因，本机关采用其他方式均无法向你（单位）送达，现参照《中华人民共和国民事诉讼法》第九十五条的规定公告送达《行政处罚决定书》。本公告自刊登之日起经过30日，即视为送达。</w:t>
      </w:r>
    </w:p>
    <w:p w14:paraId="34CE2C8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45" w:afterAutospacing="0" w:line="320" w:lineRule="exact"/>
        <w:ind w:left="0" w:right="0" w:firstLine="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eastAsia="zh-CN"/>
        </w:rPr>
      </w:pPr>
    </w:p>
    <w:p w14:paraId="25400B1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45" w:afterAutospacing="0" w:line="320" w:lineRule="exact"/>
        <w:ind w:left="0" w:right="0" w:firstLine="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eastAsia="zh-CN"/>
        </w:rPr>
      </w:pPr>
    </w:p>
    <w:p w14:paraId="511BF4F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345" w:afterAutospacing="0" w:line="320" w:lineRule="exact"/>
        <w:ind w:left="0" w:right="0" w:firstLine="0"/>
        <w:jc w:val="left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>　                                       海南省交通规费征稽局琼山分局</w:t>
      </w:r>
    </w:p>
    <w:p w14:paraId="589097B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4"/>
          <w:szCs w:val="24"/>
          <w:highlight w:val="none"/>
          <w:shd w:val="clear" w:color="auto" w:fill="FFFFFF"/>
          <w:lang w:val="en-US" w:eastAsia="zh-CN"/>
        </w:rPr>
        <w:t xml:space="preserve">                                          2025年3月27日</w:t>
      </w:r>
    </w:p>
    <w:p w14:paraId="29F0412A">
      <w:pPr>
        <w:rPr>
          <w:highlight w:val="none"/>
        </w:rPr>
      </w:pPr>
    </w:p>
    <w:p w14:paraId="113CD74F">
      <w:pPr>
        <w:rPr>
          <w:highlight w:val="none"/>
        </w:rPr>
      </w:pPr>
    </w:p>
    <w:p w14:paraId="38281A98">
      <w:pPr>
        <w:pStyle w:val="2"/>
      </w:pPr>
    </w:p>
    <w:p w14:paraId="03F992C5"/>
    <w:p w14:paraId="03CDDE96"/>
    <w:p w14:paraId="3A668BDE">
      <w:pPr>
        <w:overflowPunct w:val="0"/>
        <w:spacing w:after="93" w:afterLines="30" w:line="6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行政处罚撤销决定书</w:t>
      </w:r>
    </w:p>
    <w:p w14:paraId="11EFA680">
      <w:pPr>
        <w:overflowPunct w:val="0"/>
        <w:spacing w:after="93" w:afterLines="30" w:line="600" w:lineRule="exact"/>
        <w:jc w:val="center"/>
        <w:rPr>
          <w:rFonts w:hint="eastAsia" w:ascii="楷体_GB2312" w:hAnsi="仿宋" w:eastAsia="楷体_GB2312" w:cs="仿宋"/>
          <w:color w:val="000000"/>
          <w:sz w:val="28"/>
          <w:szCs w:val="28"/>
        </w:rPr>
      </w:pPr>
      <w:r>
        <w:rPr>
          <w:rFonts w:hint="eastAsia" w:ascii="楷体_GB2312" w:hAnsi="楷体" w:eastAsia="楷体_GB2312" w:cs="楷体"/>
          <w:color w:val="000000"/>
          <w:spacing w:val="-20"/>
          <w:sz w:val="28"/>
          <w:szCs w:val="28"/>
        </w:rPr>
        <w:t>（琼交征</w:t>
      </w:r>
      <w:r>
        <w:rPr>
          <w:rFonts w:hint="eastAsia" w:ascii="楷体_GB2312" w:hAnsi="楷体" w:eastAsia="楷体_GB2312" w:cs="楷体"/>
          <w:color w:val="000000"/>
          <w:spacing w:val="-20"/>
          <w:sz w:val="28"/>
          <w:szCs w:val="28"/>
          <w:lang w:val="en-US" w:eastAsia="zh-CN"/>
        </w:rPr>
        <w:t>琼山</w:t>
      </w:r>
      <w:r>
        <w:rPr>
          <w:rFonts w:hint="eastAsia" w:ascii="楷体_GB2312" w:hAnsi="楷体" w:eastAsia="楷体_GB2312" w:cs="楷体"/>
          <w:color w:val="000000"/>
          <w:spacing w:val="-20"/>
          <w:sz w:val="28"/>
          <w:szCs w:val="28"/>
        </w:rPr>
        <w:t>撤销[202</w:t>
      </w:r>
      <w:r>
        <w:rPr>
          <w:rFonts w:hint="eastAsia" w:ascii="楷体_GB2312" w:hAnsi="楷体" w:eastAsia="楷体_GB2312" w:cs="楷体"/>
          <w:color w:val="000000"/>
          <w:spacing w:val="-20"/>
          <w:sz w:val="28"/>
          <w:szCs w:val="28"/>
          <w:lang w:val="en-US" w:eastAsia="zh-CN"/>
        </w:rPr>
        <w:t>5</w:t>
      </w:r>
      <w:r>
        <w:rPr>
          <w:rFonts w:hint="eastAsia" w:ascii="楷体_GB2312" w:hAnsi="楷体" w:eastAsia="楷体_GB2312" w:cs="楷体"/>
          <w:color w:val="000000"/>
          <w:spacing w:val="-20"/>
          <w:sz w:val="28"/>
          <w:szCs w:val="28"/>
        </w:rPr>
        <w:t>]</w:t>
      </w:r>
      <w:r>
        <w:rPr>
          <w:rFonts w:hint="eastAsia" w:ascii="楷体_GB2312" w:hAnsi="楷体" w:eastAsia="楷体_GB2312" w:cs="楷体"/>
          <w:color w:val="000000"/>
          <w:spacing w:val="-20"/>
          <w:sz w:val="28"/>
          <w:szCs w:val="28"/>
          <w:lang w:val="en-US" w:eastAsia="zh-CN"/>
        </w:rPr>
        <w:t xml:space="preserve"> 1</w:t>
      </w:r>
      <w:r>
        <w:rPr>
          <w:rFonts w:hint="eastAsia" w:ascii="楷体_GB2312" w:hAnsi="楷体" w:eastAsia="楷体_GB2312" w:cs="楷体"/>
          <w:color w:val="000000"/>
          <w:spacing w:val="-20"/>
          <w:sz w:val="28"/>
          <w:szCs w:val="28"/>
        </w:rPr>
        <w:t>号）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991"/>
        <w:gridCol w:w="1482"/>
        <w:gridCol w:w="855"/>
        <w:gridCol w:w="1756"/>
        <w:gridCol w:w="1239"/>
        <w:gridCol w:w="2039"/>
      </w:tblGrid>
      <w:tr w14:paraId="087F66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787" w:hRule="atLeast"/>
          <w:jc w:val="center"/>
        </w:trPr>
        <w:tc>
          <w:tcPr>
            <w:tcW w:w="9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C666F">
            <w:pPr>
              <w:overflowPunct w:val="0"/>
              <w:spacing w:line="32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  <w:t>当事人</w:t>
            </w:r>
          </w:p>
          <w:p w14:paraId="46CB0429">
            <w:pPr>
              <w:overflowPunct w:val="0"/>
              <w:spacing w:line="32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  <w:t>基本情况</w:t>
            </w:r>
          </w:p>
        </w:tc>
        <w:tc>
          <w:tcPr>
            <w:tcW w:w="14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885F2">
            <w:pPr>
              <w:overflowPunct w:val="0"/>
              <w:spacing w:line="320" w:lineRule="exact"/>
              <w:rPr>
                <w:rFonts w:ascii="仿宋_GB2312" w:hAnsi="仿宋_GB2312" w:eastAsia="仿宋_GB2312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 w:val="24"/>
                <w:szCs w:val="22"/>
              </w:rPr>
              <w:t>自然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  <w:t>人</w:t>
            </w:r>
          </w:p>
          <w:p w14:paraId="13AF22D3">
            <w:pPr>
              <w:overflowPunct w:val="0"/>
              <w:spacing w:line="320" w:lineRule="exact"/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宋体"/>
                <w:color w:val="000000"/>
                <w:sz w:val="24"/>
              </w:rPr>
              <w:sym w:font="Wingdings 2" w:char="0052"/>
            </w:r>
            <w:r>
              <w:rPr>
                <w:rFonts w:hint="eastAsia" w:ascii="宋体" w:hAnsi="宋体" w:cs="宋体"/>
                <w:color w:val="000000"/>
                <w:sz w:val="24"/>
                <w:szCs w:val="22"/>
              </w:rPr>
              <w:t>法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  <w:t>人</w:t>
            </w:r>
          </w:p>
          <w:p w14:paraId="1E35E33D">
            <w:pPr>
              <w:overflowPunct w:val="0"/>
              <w:spacing w:line="320" w:lineRule="exact"/>
              <w:rPr>
                <w:rFonts w:ascii="仿宋_GB2312" w:hAnsi="仿宋_GB2312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宋体"/>
                <w:color w:val="000000"/>
                <w:sz w:val="24"/>
              </w:rPr>
              <w:sym w:font="Wingdings 2" w:char="00A3"/>
            </w:r>
            <w:r>
              <w:rPr>
                <w:rFonts w:hint="eastAsia" w:ascii="宋体" w:hAnsi="宋体" w:cs="宋体"/>
                <w:color w:val="000000"/>
                <w:sz w:val="24"/>
                <w:szCs w:val="22"/>
              </w:rPr>
              <w:t>非法人组</w:t>
            </w:r>
            <w:r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  <w:t>织</w:t>
            </w: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4666CF">
            <w:pPr>
              <w:overflowPunct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  <w:t>姓名或名称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BA7B6B">
            <w:pPr>
              <w:overflowPunct w:val="0"/>
              <w:spacing w:line="280" w:lineRule="exact"/>
              <w:jc w:val="center"/>
              <w:rPr>
                <w:rFonts w:hint="default" w:ascii="仿宋_GB2312" w:hAnsi="仿宋_GB2312" w:eastAsia="宋体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宋体" w:cs="仿宋_GB2312"/>
                <w:color w:val="000000"/>
                <w:sz w:val="24"/>
                <w:lang w:val="en-US" w:eastAsia="zh-CN"/>
              </w:rPr>
              <w:t>海南援诚汽车道路救援有限公司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40EFC5">
            <w:pPr>
              <w:overflowPunct w:val="0"/>
              <w:spacing w:line="32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  <w:t>法定代表人或负责人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953639">
            <w:pPr>
              <w:overflowPunct w:val="0"/>
              <w:spacing w:line="280" w:lineRule="exact"/>
              <w:jc w:val="center"/>
              <w:rPr>
                <w:rFonts w:hint="default" w:ascii="仿宋_GB2312" w:hAnsi="仿宋_GB2312" w:eastAsia="宋体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val="en-US" w:eastAsia="zh-CN"/>
              </w:rPr>
              <w:t>夏义成</w:t>
            </w:r>
          </w:p>
        </w:tc>
      </w:tr>
      <w:tr w14:paraId="7BE2B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690" w:hRule="atLeast"/>
          <w:jc w:val="center"/>
        </w:trPr>
        <w:tc>
          <w:tcPr>
            <w:tcW w:w="9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63EBBB">
            <w:pPr>
              <w:widowControl/>
              <w:jc w:val="left"/>
              <w:rPr>
                <w:rFonts w:ascii="仿宋_GB2312" w:hAnsi="仿宋_GB2312" w:cs="仿宋_GB2312"/>
                <w:color w:val="000000"/>
                <w:sz w:val="24"/>
                <w:szCs w:val="22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CA1B8">
            <w:pPr>
              <w:widowControl/>
              <w:jc w:val="left"/>
              <w:rPr>
                <w:rFonts w:ascii="仿宋_GB2312" w:hAnsi="仿宋_GB2312" w:cs="仿宋_GB2312"/>
                <w:color w:val="000000"/>
                <w:sz w:val="24"/>
                <w:szCs w:val="22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87B5B6">
            <w:pPr>
              <w:overflowPunct w:val="0"/>
              <w:spacing w:line="32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  <w:t>地址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6A5E6">
            <w:pPr>
              <w:overflowPunct w:val="0"/>
              <w:spacing w:line="280" w:lineRule="exact"/>
              <w:jc w:val="center"/>
              <w:rPr>
                <w:rFonts w:hint="default" w:ascii="仿宋_GB2312" w:hAnsi="仿宋_GB2312" w:eastAsia="宋体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宋体" w:cs="仿宋_GB2312"/>
                <w:color w:val="000000"/>
                <w:sz w:val="24"/>
                <w:lang w:val="en-US" w:eastAsia="zh-CN"/>
              </w:rPr>
              <w:t>海南省海口市秀英区长彤路昌明村371号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61DCCF">
            <w:pPr>
              <w:overflowPunct w:val="0"/>
              <w:spacing w:line="32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  <w:t>联系</w:t>
            </w:r>
          </w:p>
          <w:p w14:paraId="7B5CC0AD">
            <w:pPr>
              <w:overflowPunct w:val="0"/>
              <w:spacing w:line="32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  <w:t>电话</w:t>
            </w:r>
          </w:p>
        </w:tc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FE43C">
            <w:pPr>
              <w:overflowPunct w:val="0"/>
              <w:spacing w:line="280" w:lineRule="exact"/>
              <w:jc w:val="center"/>
              <w:rPr>
                <w:rFonts w:hint="default" w:ascii="仿宋_GB2312" w:hAnsi="仿宋_GB2312" w:eastAsia="宋体" w:cs="仿宋_GB2312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lang w:val="en-US" w:eastAsia="zh-CN"/>
              </w:rPr>
              <w:t>18907679987</w:t>
            </w:r>
          </w:p>
        </w:tc>
      </w:tr>
      <w:tr w14:paraId="2ECBC8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cantSplit/>
          <w:trHeight w:val="1085" w:hRule="atLeast"/>
          <w:jc w:val="center"/>
        </w:trPr>
        <w:tc>
          <w:tcPr>
            <w:tcW w:w="9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B09A4">
            <w:pPr>
              <w:widowControl/>
              <w:jc w:val="left"/>
              <w:rPr>
                <w:rFonts w:ascii="仿宋_GB2312" w:hAnsi="仿宋_GB2312" w:cs="仿宋_GB2312"/>
                <w:color w:val="000000"/>
                <w:sz w:val="24"/>
                <w:szCs w:val="22"/>
              </w:rPr>
            </w:pPr>
          </w:p>
        </w:tc>
        <w:tc>
          <w:tcPr>
            <w:tcW w:w="14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E5E74">
            <w:pPr>
              <w:widowControl/>
              <w:jc w:val="left"/>
              <w:rPr>
                <w:rFonts w:ascii="仿宋_GB2312" w:hAnsi="仿宋_GB2312" w:cs="仿宋_GB2312"/>
                <w:color w:val="000000"/>
                <w:sz w:val="24"/>
                <w:szCs w:val="22"/>
              </w:rPr>
            </w:pPr>
          </w:p>
        </w:tc>
        <w:tc>
          <w:tcPr>
            <w:tcW w:w="26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92B018">
            <w:pPr>
              <w:overflowPunct w:val="0"/>
              <w:spacing w:line="32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  <w:t>自然人（身份证号码）</w:t>
            </w:r>
          </w:p>
          <w:p w14:paraId="5C1EFB5D">
            <w:pPr>
              <w:overflowPunct w:val="0"/>
              <w:spacing w:line="320" w:lineRule="exact"/>
              <w:jc w:val="center"/>
              <w:rPr>
                <w:rFonts w:ascii="仿宋_GB2312" w:hAnsi="仿宋_GB2312" w:cs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仿宋_GB2312" w:cs="仿宋_GB2312"/>
                <w:color w:val="000000"/>
                <w:sz w:val="24"/>
                <w:szCs w:val="22"/>
              </w:rPr>
              <w:t>组织（统一社会信用代码）</w:t>
            </w:r>
          </w:p>
        </w:tc>
        <w:tc>
          <w:tcPr>
            <w:tcW w:w="32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2AD4A8">
            <w:pPr>
              <w:overflowPunct w:val="0"/>
              <w:spacing w:line="320" w:lineRule="exact"/>
              <w:jc w:val="center"/>
              <w:rPr>
                <w:rFonts w:hint="default" w:ascii="仿宋_GB2312" w:hAnsi="仿宋_GB2312" w:cs="仿宋_GB2312"/>
                <w:color w:val="000000"/>
                <w:sz w:val="24"/>
                <w:szCs w:val="22"/>
                <w:lang w:val="en-US"/>
              </w:rPr>
            </w:pPr>
            <w:r>
              <w:rPr>
                <w:rFonts w:hint="eastAsia" w:ascii="仿宋_GB2312" w:hAnsi="仿宋_GB2312" w:eastAsia="宋体" w:cs="仿宋_GB2312"/>
                <w:color w:val="000000"/>
                <w:sz w:val="24"/>
                <w:lang w:val="en-US" w:eastAsia="zh-CN"/>
              </w:rPr>
              <w:t>91460100MA5RD3F3XB</w:t>
            </w:r>
          </w:p>
        </w:tc>
      </w:tr>
    </w:tbl>
    <w:p w14:paraId="4D6D1E64">
      <w:pPr>
        <w:overflowPunct w:val="0"/>
        <w:spacing w:line="200" w:lineRule="exact"/>
        <w:ind w:firstLine="482"/>
        <w:jc w:val="left"/>
        <w:rPr>
          <w:rFonts w:hint="eastAsia" w:ascii="仿宋_GB2312" w:hAnsi="仿宋_GB2312" w:cs="仿宋_GB2312"/>
          <w:color w:val="000000"/>
          <w:szCs w:val="32"/>
        </w:rPr>
      </w:pPr>
    </w:p>
    <w:p w14:paraId="25B77DBC">
      <w:pPr>
        <w:overflowPunct w:val="0"/>
        <w:spacing w:line="560" w:lineRule="exact"/>
        <w:ind w:firstLine="600" w:firstLineChars="200"/>
        <w:rPr>
          <w:rFonts w:hint="eastAsia" w:ascii="仿宋_GB2312" w:hAnsi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本机关于2024年5月29日依法</w:t>
      </w:r>
      <w:r>
        <w:rPr>
          <w:rFonts w:hint="eastAsia" w:ascii="仿宋_GB2312" w:hAnsi="仿宋_GB2312" w:cs="仿宋_GB2312"/>
          <w:sz w:val="30"/>
          <w:szCs w:val="30"/>
        </w:rPr>
        <w:t>对你单位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个人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作</w:t>
      </w:r>
      <w:r>
        <w:rPr>
          <w:rFonts w:hint="eastAsia" w:ascii="仿宋_GB2312" w:hAnsi="仿宋_GB2312" w:cs="仿宋_GB2312"/>
          <w:sz w:val="30"/>
          <w:szCs w:val="30"/>
        </w:rPr>
        <w:t>出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了《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行政处罚决定书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》【</w:t>
      </w:r>
      <w:r>
        <w:rPr>
          <w:rFonts w:hint="eastAsia" w:ascii="仿宋_GB2312" w:hAnsi="仿宋_GB2312" w:cs="仿宋_GB2312"/>
          <w:sz w:val="30"/>
          <w:szCs w:val="30"/>
        </w:rPr>
        <w:t>琼交征罚字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2024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114</w:t>
      </w:r>
      <w:r>
        <w:rPr>
          <w:rFonts w:hint="eastAsia" w:ascii="仿宋_GB2312" w:hAnsi="仿宋_GB2312" w:cs="仿宋_GB2312"/>
          <w:sz w:val="30"/>
          <w:szCs w:val="30"/>
        </w:rPr>
        <w:t>号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】</w:t>
      </w:r>
      <w:r>
        <w:rPr>
          <w:rFonts w:hint="eastAsia" w:ascii="仿宋_GB2312" w:hAnsi="仿宋_GB2312" w:cs="仿宋_GB2312"/>
          <w:sz w:val="30"/>
          <w:szCs w:val="30"/>
        </w:rPr>
        <w:t>，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经本机关对上述行政处罚决定进行审查，认为因出现新的证据事实，需要重新调查取证，根据</w:t>
      </w:r>
      <w:r>
        <w:rPr>
          <w:rFonts w:hint="eastAsia" w:ascii="仿宋_GB2312" w:hAnsi="仿宋_GB2312" w:cs="仿宋_GB2312"/>
          <w:sz w:val="30"/>
          <w:szCs w:val="30"/>
        </w:rPr>
        <w:t>《中华人民共和国行政处罚法》第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七十五条的规定</w:t>
      </w:r>
      <w:r>
        <w:rPr>
          <w:rFonts w:hint="eastAsia" w:ascii="仿宋_GB2312" w:hAnsi="仿宋_GB2312" w:cs="仿宋_GB2312"/>
          <w:sz w:val="30"/>
          <w:szCs w:val="30"/>
        </w:rPr>
        <w:t>，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作出如下决定：</w:t>
      </w:r>
    </w:p>
    <w:p w14:paraId="54B7FD6E">
      <w:pPr>
        <w:overflowPunct w:val="0"/>
        <w:spacing w:line="560" w:lineRule="exact"/>
        <w:ind w:firstLine="600" w:firstLineChars="200"/>
        <w:rPr>
          <w:rFonts w:hint="default" w:ascii="仿宋_GB2312" w:hAnsi="仿宋_GB2312" w:eastAsia="宋体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cs="仿宋_GB2312"/>
          <w:sz w:val="30"/>
          <w:szCs w:val="30"/>
        </w:rPr>
        <w:t>撤销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本机关做出的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《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行政处罚决定书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》【</w:t>
      </w:r>
      <w:r>
        <w:rPr>
          <w:rFonts w:hint="eastAsia" w:ascii="仿宋_GB2312" w:hAnsi="仿宋_GB2312" w:cs="仿宋_GB2312"/>
          <w:sz w:val="30"/>
          <w:szCs w:val="30"/>
        </w:rPr>
        <w:t>琼交征罚字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（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2024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）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114</w:t>
      </w:r>
      <w:r>
        <w:rPr>
          <w:rFonts w:hint="eastAsia" w:ascii="仿宋_GB2312" w:hAnsi="仿宋_GB2312" w:cs="仿宋_GB2312"/>
          <w:sz w:val="30"/>
          <w:szCs w:val="30"/>
        </w:rPr>
        <w:t>号</w:t>
      </w:r>
      <w:r>
        <w:rPr>
          <w:rFonts w:hint="eastAsia" w:ascii="仿宋_GB2312" w:hAnsi="仿宋_GB2312" w:cs="仿宋_GB2312"/>
          <w:sz w:val="30"/>
          <w:szCs w:val="30"/>
          <w:lang w:eastAsia="zh-CN"/>
        </w:rPr>
        <w:t>】</w:t>
      </w:r>
      <w:r>
        <w:rPr>
          <w:rFonts w:hint="eastAsia" w:ascii="仿宋_GB2312" w:hAnsi="仿宋_GB2312" w:cs="仿宋_GB2312"/>
          <w:sz w:val="30"/>
          <w:szCs w:val="30"/>
          <w:lang w:val="en-US" w:eastAsia="zh-CN"/>
        </w:rPr>
        <w:t>并重新调查。</w:t>
      </w:r>
    </w:p>
    <w:p w14:paraId="19A5CEB2">
      <w:pPr>
        <w:overflowPunct w:val="0"/>
        <w:spacing w:line="560" w:lineRule="exact"/>
        <w:ind w:firstLine="600" w:firstLineChars="200"/>
        <w:jc w:val="left"/>
        <w:rPr>
          <w:rFonts w:hint="eastAsia" w:ascii="仿宋_GB2312" w:hAnsi="仿宋_GB2312" w:cs="仿宋_GB2312"/>
          <w:color w:val="000000"/>
          <w:sz w:val="30"/>
          <w:szCs w:val="30"/>
        </w:rPr>
      </w:pPr>
      <w:r>
        <w:rPr>
          <w:rFonts w:hint="eastAsia" w:ascii="仿宋_GB2312" w:hAnsi="仿宋_GB2312" w:cs="仿宋_GB2312"/>
          <w:color w:val="000000"/>
          <w:sz w:val="30"/>
          <w:szCs w:val="30"/>
        </w:rPr>
        <w:t>本文书一式二份，一份送达，一份归档。</w:t>
      </w:r>
    </w:p>
    <w:p w14:paraId="4ABAEBC4">
      <w:pPr>
        <w:overflowPunct w:val="0"/>
        <w:spacing w:before="105" w:line="560" w:lineRule="exact"/>
        <w:ind w:firstLine="600" w:firstLineChars="200"/>
        <w:rPr>
          <w:rFonts w:hint="eastAsia" w:ascii="仿宋_GB2312" w:hAnsi="仿宋" w:cs="仿宋"/>
          <w:color w:val="000000"/>
          <w:sz w:val="30"/>
          <w:szCs w:val="30"/>
          <w:u w:val="single"/>
        </w:rPr>
      </w:pPr>
    </w:p>
    <w:p w14:paraId="04DB12F9">
      <w:pPr>
        <w:pStyle w:val="2"/>
        <w:rPr>
          <w:rFonts w:hint="eastAsia"/>
        </w:rPr>
      </w:pPr>
    </w:p>
    <w:p w14:paraId="524AC993">
      <w:pPr>
        <w:pStyle w:val="2"/>
        <w:rPr>
          <w:rFonts w:hint="eastAsia"/>
        </w:rPr>
      </w:pPr>
    </w:p>
    <w:p w14:paraId="32FBED85">
      <w:pPr>
        <w:overflowPunct w:val="0"/>
        <w:spacing w:line="500" w:lineRule="exact"/>
        <w:ind w:right="420" w:rightChars="200" w:firstLine="600" w:firstLineChars="200"/>
        <w:jc w:val="right"/>
        <w:rPr>
          <w:rFonts w:hint="eastAsia" w:ascii="仿宋_GB2312"/>
          <w:color w:val="000000"/>
          <w:sz w:val="30"/>
          <w:szCs w:val="30"/>
        </w:rPr>
      </w:pPr>
      <w:r>
        <w:rPr>
          <w:rFonts w:hint="eastAsia" w:ascii="仿宋_GB2312" w:hAnsi="仿宋" w:cs="仿宋"/>
          <w:color w:val="000000"/>
          <w:sz w:val="30"/>
          <w:szCs w:val="30"/>
          <w:lang w:val="en-US" w:eastAsia="zh-CN"/>
        </w:rPr>
        <w:t xml:space="preserve">      </w:t>
      </w:r>
      <w:r>
        <w:rPr>
          <w:rFonts w:hint="eastAsia" w:ascii="仿宋_GB2312" w:hAnsi="仿宋" w:cs="仿宋"/>
          <w:color w:val="000000"/>
          <w:sz w:val="30"/>
          <w:szCs w:val="30"/>
        </w:rPr>
        <w:t>海南省交通规费征稽局</w:t>
      </w:r>
      <w:r>
        <w:rPr>
          <w:rFonts w:hint="eastAsia" w:ascii="仿宋_GB2312" w:hAnsi="仿宋" w:cs="仿宋"/>
          <w:color w:val="000000"/>
          <w:sz w:val="30"/>
          <w:szCs w:val="30"/>
          <w:lang w:val="en-US" w:eastAsia="zh-CN"/>
        </w:rPr>
        <w:t>琼山</w:t>
      </w:r>
      <w:r>
        <w:rPr>
          <w:rFonts w:hint="eastAsia" w:ascii="仿宋_GB2312" w:hAnsi="仿宋" w:cs="仿宋"/>
          <w:color w:val="000000"/>
          <w:sz w:val="30"/>
          <w:szCs w:val="30"/>
        </w:rPr>
        <w:t xml:space="preserve">分局             </w:t>
      </w:r>
    </w:p>
    <w:p w14:paraId="6267C1D1">
      <w:pPr>
        <w:overflowPunct w:val="0"/>
        <w:spacing w:line="500" w:lineRule="exact"/>
        <w:ind w:right="420" w:rightChars="200" w:firstLine="600" w:firstLineChars="200"/>
        <w:jc w:val="center"/>
        <w:rPr>
          <w:rFonts w:hint="eastAsia" w:ascii="仿宋_GB2312"/>
          <w:color w:val="000000"/>
          <w:sz w:val="30"/>
          <w:szCs w:val="30"/>
        </w:rPr>
      </w:pPr>
      <w:r>
        <w:rPr>
          <w:rFonts w:hint="eastAsia" w:ascii="仿宋_GB2312" w:hAnsi="仿宋" w:cs="仿宋"/>
          <w:color w:val="000000"/>
          <w:sz w:val="30"/>
          <w:szCs w:val="30"/>
        </w:rPr>
        <w:t xml:space="preserve">                    </w:t>
      </w:r>
      <w:r>
        <w:rPr>
          <w:rFonts w:hint="eastAsia" w:ascii="仿宋_GB2312" w:hAnsi="仿宋" w:cs="仿宋"/>
          <w:color w:val="000000"/>
          <w:sz w:val="30"/>
          <w:szCs w:val="30"/>
          <w:lang w:val="en-US" w:eastAsia="zh-CN"/>
        </w:rPr>
        <w:t>2025</w:t>
      </w:r>
      <w:r>
        <w:rPr>
          <w:rFonts w:hint="eastAsia" w:ascii="仿宋_GB2312" w:hAnsi="仿宋" w:cs="仿宋"/>
          <w:color w:val="000000"/>
          <w:sz w:val="30"/>
          <w:szCs w:val="30"/>
        </w:rPr>
        <w:t>年</w:t>
      </w:r>
      <w:r>
        <w:rPr>
          <w:rFonts w:hint="eastAsia" w:ascii="仿宋_GB2312" w:hAnsi="仿宋" w:cs="仿宋"/>
          <w:color w:val="000000"/>
          <w:sz w:val="30"/>
          <w:szCs w:val="30"/>
          <w:lang w:val="en-US" w:eastAsia="zh-CN"/>
        </w:rPr>
        <w:t>3</w:t>
      </w:r>
      <w:r>
        <w:rPr>
          <w:rFonts w:hint="eastAsia" w:ascii="仿宋_GB2312" w:hAnsi="仿宋" w:cs="仿宋"/>
          <w:color w:val="000000"/>
          <w:sz w:val="30"/>
          <w:szCs w:val="30"/>
        </w:rPr>
        <w:t>月</w:t>
      </w:r>
      <w:r>
        <w:rPr>
          <w:rFonts w:hint="eastAsia" w:ascii="仿宋_GB2312" w:hAnsi="仿宋" w:cs="仿宋"/>
          <w:color w:val="000000"/>
          <w:sz w:val="30"/>
          <w:szCs w:val="30"/>
          <w:lang w:val="en-US" w:eastAsia="zh-CN"/>
        </w:rPr>
        <w:t>17</w:t>
      </w:r>
      <w:r>
        <w:rPr>
          <w:rFonts w:hint="eastAsia" w:ascii="仿宋_GB2312" w:hAnsi="仿宋" w:cs="仿宋"/>
          <w:color w:val="000000"/>
          <w:sz w:val="30"/>
          <w:szCs w:val="30"/>
        </w:rPr>
        <w:t>日</w:t>
      </w:r>
    </w:p>
    <w:p w14:paraId="5138E155">
      <w:pPr>
        <w:rPr>
          <w:rFonts w:hint="eastAsia"/>
        </w:rPr>
      </w:pPr>
    </w:p>
    <w:p w14:paraId="5E377445">
      <w:pPr>
        <w:rPr>
          <w:rFonts w:hint="eastAsia"/>
        </w:rPr>
      </w:pPr>
    </w:p>
    <w:p w14:paraId="6D1B4097">
      <w:pPr>
        <w:rPr>
          <w:rFonts w:hint="eastAsia"/>
        </w:rPr>
      </w:pPr>
    </w:p>
    <w:p w14:paraId="38934FCC">
      <w:pPr>
        <w:overflowPunct w:val="0"/>
        <w:spacing w:line="500" w:lineRule="exact"/>
        <w:ind w:firstLine="600" w:firstLineChars="200"/>
        <w:rPr>
          <w:rFonts w:hint="eastAsia" w:ascii="仿宋_GB2312" w:hAnsi="仿宋" w:cs="仿宋"/>
          <w:color w:val="000000"/>
          <w:sz w:val="30"/>
          <w:szCs w:val="30"/>
        </w:rPr>
      </w:pPr>
      <w:r>
        <w:rPr>
          <w:rFonts w:hint="eastAsia" w:ascii="仿宋_GB2312" w:hAnsi="仿宋" w:cs="仿宋"/>
          <w:color w:val="000000"/>
          <w:sz w:val="30"/>
          <w:szCs w:val="30"/>
        </w:rPr>
        <w:t>受送达人：</w:t>
      </w:r>
    </w:p>
    <w:p w14:paraId="50078020">
      <w:pPr>
        <w:overflowPunct w:val="0"/>
        <w:spacing w:line="500" w:lineRule="exact"/>
        <w:ind w:firstLine="600" w:firstLineChars="200"/>
        <w:rPr>
          <w:rFonts w:hint="eastAsia" w:ascii="仿宋_GB2312"/>
          <w:color w:val="000000"/>
          <w:sz w:val="30"/>
          <w:szCs w:val="30"/>
        </w:rPr>
      </w:pPr>
      <w:r>
        <w:rPr>
          <w:rFonts w:hint="eastAsia" w:ascii="仿宋_GB2312" w:hAnsi="仿宋" w:cs="仿宋"/>
          <w:color w:val="000000"/>
          <w:sz w:val="30"/>
          <w:szCs w:val="30"/>
        </w:rPr>
        <w:t xml:space="preserve">（签名或盖章）  </w:t>
      </w:r>
    </w:p>
    <w:p w14:paraId="4010D0D4">
      <w:pPr>
        <w:overflowPunct w:val="0"/>
        <w:spacing w:line="500" w:lineRule="exact"/>
        <w:ind w:firstLine="2100" w:firstLineChars="700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仿宋_GB2312" w:hAnsi="仿宋" w:cs="仿宋"/>
          <w:color w:val="000000"/>
          <w:sz w:val="30"/>
          <w:szCs w:val="30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00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YmZhMWVhYjVhODUxZTNkYTM5MWJjYzMxZmRiYzkifQ=="/>
  </w:docVars>
  <w:rsids>
    <w:rsidRoot w:val="00000000"/>
    <w:rsid w:val="02644656"/>
    <w:rsid w:val="1C6C5B5F"/>
    <w:rsid w:val="27844B39"/>
    <w:rsid w:val="2B146881"/>
    <w:rsid w:val="397C2FEB"/>
    <w:rsid w:val="3AE9053F"/>
    <w:rsid w:val="3FFDE226"/>
    <w:rsid w:val="405C7E57"/>
    <w:rsid w:val="44B9283D"/>
    <w:rsid w:val="475414EC"/>
    <w:rsid w:val="52037695"/>
    <w:rsid w:val="595804B7"/>
    <w:rsid w:val="604D3A85"/>
    <w:rsid w:val="69F66067"/>
    <w:rsid w:val="6BD219B2"/>
    <w:rsid w:val="740F6CD0"/>
    <w:rsid w:val="7DF30A3E"/>
    <w:rsid w:val="7E56891A"/>
    <w:rsid w:val="DDFB4910"/>
    <w:rsid w:val="F752A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semiHidden/>
    <w:uiPriority w:val="0"/>
    <w:pPr>
      <w:ind w:left="420" w:leftChars="200"/>
    </w:p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697</Words>
  <Characters>775</Characters>
  <Lines>0</Lines>
  <Paragraphs>0</Paragraphs>
  <TotalTime>12</TotalTime>
  <ScaleCrop>false</ScaleCrop>
  <LinksUpToDate>false</LinksUpToDate>
  <CharactersWithSpaces>916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Administrator</cp:lastModifiedBy>
  <cp:lastPrinted>2024-06-13T23:41:00Z</cp:lastPrinted>
  <dcterms:modified xsi:type="dcterms:W3CDTF">2025-03-28T10:09:33Z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EED555DB543043E1A51933D36C914CBD_13</vt:lpwstr>
  </property>
</Properties>
</file>